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3E288">
      <w:pPr>
        <w:spacing w:line="560" w:lineRule="exact"/>
        <w:jc w:val="center"/>
        <w:rPr>
          <w:rFonts w:ascii="方正小标宋简体" w:hAnsi="仿宋" w:eastAsia="方正小标宋简体"/>
          <w:color w:val="000000"/>
          <w:sz w:val="44"/>
          <w:szCs w:val="44"/>
        </w:rPr>
      </w:pPr>
      <w:bookmarkStart w:id="0" w:name="OLE_LINK2"/>
      <w:bookmarkStart w:id="1" w:name="OLE_LINK1"/>
      <w:r>
        <w:rPr>
          <w:rFonts w:hint="eastAsia" w:ascii="方正小标宋简体" w:hAnsi="仿宋" w:eastAsia="方正小标宋简体"/>
          <w:color w:val="000000"/>
          <w:sz w:val="44"/>
          <w:szCs w:val="44"/>
        </w:rPr>
        <w:t>南宁市武鸣区中医医院</w:t>
      </w:r>
    </w:p>
    <w:p w14:paraId="6E566B0C">
      <w:pPr>
        <w:spacing w:line="560" w:lineRule="exact"/>
        <w:jc w:val="center"/>
        <w:rPr>
          <w:rFonts w:ascii="方正小标宋简体" w:hAnsi="仿宋" w:eastAsia="方正小标宋简体"/>
          <w:color w:val="000000"/>
          <w:sz w:val="44"/>
          <w:szCs w:val="44"/>
        </w:rPr>
      </w:pPr>
      <w:r>
        <w:rPr>
          <w:rFonts w:hint="eastAsia" w:ascii="方正小标宋简体" w:hAnsi="仿宋" w:eastAsia="方正小标宋简体"/>
          <w:color w:val="000000"/>
          <w:sz w:val="44"/>
          <w:szCs w:val="44"/>
        </w:rPr>
        <w:t>全国严重创伤救治信息交互联动系统服务项目采购需求</w:t>
      </w:r>
      <w:bookmarkEnd w:id="0"/>
    </w:p>
    <w:p w14:paraId="04559DEE">
      <w:pPr>
        <w:spacing w:line="560" w:lineRule="exact"/>
        <w:jc w:val="center"/>
        <w:rPr>
          <w:rFonts w:ascii="方正小标宋简体" w:hAnsi="仿宋" w:eastAsia="方正小标宋简体"/>
          <w:color w:val="000000"/>
          <w:sz w:val="44"/>
          <w:szCs w:val="44"/>
        </w:rPr>
      </w:pPr>
    </w:p>
    <w:bookmarkEnd w:id="1"/>
    <w:p w14:paraId="3908B13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一、项目概述</w:t>
      </w:r>
    </w:p>
    <w:p w14:paraId="398C5923">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提高我院创伤救治能力，最大程度挽救创伤患者生命，推进我院创伤中心创建工作，规范创伤救治流程，缩短创伤救治时间，有效降低创伤患者致死致残率。全国严重创伤救治信息交互联动系统可为创伤中心建设提供技术与数据双支撑，保障创伤病例向国家创伤医学中心数据库上报，持续提升我院创伤救治业务能力。现拟采购该系统使用服务，服务期：3 年；合同签订后 30 个日历日内完成上线运行。</w:t>
      </w:r>
    </w:p>
    <w:p w14:paraId="46D0ECA5">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项目要求</w:t>
      </w:r>
    </w:p>
    <w:p w14:paraId="4D96839F">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（一）采购内容：</w:t>
      </w:r>
    </w:p>
    <w:tbl>
      <w:tblPr>
        <w:tblStyle w:val="22"/>
        <w:tblW w:w="0" w:type="auto"/>
        <w:jc w:val="center"/>
        <w:tblLayout w:type="fixed"/>
        <w:tblCellMar>
          <w:top w:w="0" w:type="dxa"/>
          <w:left w:w="108" w:type="dxa"/>
          <w:bottom w:w="0" w:type="dxa"/>
          <w:right w:w="108" w:type="dxa"/>
        </w:tblCellMar>
      </w:tblPr>
      <w:tblGrid>
        <w:gridCol w:w="915"/>
        <w:gridCol w:w="6031"/>
        <w:gridCol w:w="1624"/>
      </w:tblGrid>
      <w:tr w14:paraId="21FC6DD2">
        <w:tblPrEx>
          <w:tblCellMar>
            <w:top w:w="0" w:type="dxa"/>
            <w:left w:w="108" w:type="dxa"/>
            <w:bottom w:w="0" w:type="dxa"/>
            <w:right w:w="108" w:type="dxa"/>
          </w:tblCellMar>
        </w:tblPrEx>
        <w:trPr>
          <w:trHeight w:val="507" w:hRule="atLeast"/>
          <w:tblHeader/>
          <w:jc w:val="center"/>
        </w:trPr>
        <w:tc>
          <w:tcPr>
            <w:tcW w:w="915" w:type="dxa"/>
            <w:tcBorders>
              <w:top w:val="single" w:color="auto" w:sz="4" w:space="0"/>
              <w:left w:val="single" w:color="auto" w:sz="4" w:space="0"/>
              <w:bottom w:val="single" w:color="000000" w:sz="4" w:space="0"/>
            </w:tcBorders>
            <w:vAlign w:val="center"/>
          </w:tcPr>
          <w:p w14:paraId="6833F345">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6031" w:type="dxa"/>
            <w:tcBorders>
              <w:top w:val="single" w:color="auto" w:sz="4" w:space="0"/>
              <w:left w:val="single" w:color="auto" w:sz="4" w:space="0"/>
              <w:bottom w:val="single" w:color="000000" w:sz="4" w:space="0"/>
            </w:tcBorders>
            <w:vAlign w:val="center"/>
          </w:tcPr>
          <w:p w14:paraId="21448E87">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采购项目名称</w:t>
            </w:r>
          </w:p>
        </w:tc>
        <w:tc>
          <w:tcPr>
            <w:tcW w:w="1624" w:type="dxa"/>
            <w:tcBorders>
              <w:top w:val="single" w:color="auto" w:sz="4" w:space="0"/>
              <w:left w:val="single" w:color="auto" w:sz="4" w:space="0"/>
              <w:bottom w:val="single" w:color="000000" w:sz="4" w:space="0"/>
              <w:right w:val="single" w:color="auto" w:sz="4" w:space="0"/>
            </w:tcBorders>
            <w:vAlign w:val="center"/>
          </w:tcPr>
          <w:p w14:paraId="33DC4687">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r>
      <w:tr w14:paraId="60AFD95F">
        <w:tblPrEx>
          <w:tblCellMar>
            <w:top w:w="0" w:type="dxa"/>
            <w:left w:w="108" w:type="dxa"/>
            <w:bottom w:w="0" w:type="dxa"/>
            <w:right w:w="108" w:type="dxa"/>
          </w:tblCellMar>
        </w:tblPrEx>
        <w:trPr>
          <w:trHeight w:val="507" w:hRule="atLeast"/>
          <w:jc w:val="center"/>
        </w:trPr>
        <w:tc>
          <w:tcPr>
            <w:tcW w:w="915" w:type="dxa"/>
            <w:tcBorders>
              <w:top w:val="single" w:color="000000" w:sz="4" w:space="0"/>
              <w:left w:val="single" w:color="000000" w:sz="4" w:space="0"/>
              <w:bottom w:val="single" w:color="000000" w:sz="4" w:space="0"/>
              <w:right w:val="single" w:color="000000" w:sz="4" w:space="0"/>
            </w:tcBorders>
            <w:vAlign w:val="center"/>
          </w:tcPr>
          <w:p w14:paraId="6EEBFB33">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6031" w:type="dxa"/>
            <w:tcBorders>
              <w:top w:val="single" w:color="000000" w:sz="4" w:space="0"/>
              <w:left w:val="single" w:color="000000" w:sz="4" w:space="0"/>
              <w:bottom w:val="single" w:color="000000" w:sz="4" w:space="0"/>
              <w:right w:val="single" w:color="000000" w:sz="4" w:space="0"/>
            </w:tcBorders>
            <w:vAlign w:val="center"/>
          </w:tcPr>
          <w:p w14:paraId="1BCE95F9">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全国严重创伤救治信息交互联动系统服务</w:t>
            </w:r>
          </w:p>
        </w:tc>
        <w:tc>
          <w:tcPr>
            <w:tcW w:w="1624" w:type="dxa"/>
            <w:tcBorders>
              <w:top w:val="single" w:color="000000" w:sz="4" w:space="0"/>
              <w:left w:val="single" w:color="000000" w:sz="4" w:space="0"/>
              <w:bottom w:val="single" w:color="000000" w:sz="4" w:space="0"/>
              <w:right w:val="single" w:color="000000" w:sz="4" w:space="0"/>
            </w:tcBorders>
            <w:vAlign w:val="center"/>
          </w:tcPr>
          <w:p w14:paraId="01A48CB7">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三年</w:t>
            </w:r>
          </w:p>
        </w:tc>
      </w:tr>
    </w:tbl>
    <w:p w14:paraId="2A2FE179">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（二）系统功能：</w:t>
      </w:r>
    </w:p>
    <w:p w14:paraId="2DCFEBE6">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系统服务模块内容</w:t>
      </w:r>
    </w:p>
    <w:tbl>
      <w:tblPr>
        <w:tblStyle w:val="22"/>
        <w:tblW w:w="0" w:type="auto"/>
        <w:tblInd w:w="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455"/>
        <w:gridCol w:w="6225"/>
      </w:tblGrid>
      <w:tr w14:paraId="1AD6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trPr>
        <w:tc>
          <w:tcPr>
            <w:tcW w:w="1020" w:type="dxa"/>
            <w:vAlign w:val="center"/>
          </w:tcPr>
          <w:p w14:paraId="7D0264D0">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455" w:type="dxa"/>
            <w:vAlign w:val="center"/>
          </w:tcPr>
          <w:p w14:paraId="54704CC3">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服务内容</w:t>
            </w:r>
          </w:p>
        </w:tc>
        <w:tc>
          <w:tcPr>
            <w:tcW w:w="6225" w:type="dxa"/>
            <w:vAlign w:val="center"/>
          </w:tcPr>
          <w:p w14:paraId="11C50F3F">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服务模块名称</w:t>
            </w:r>
          </w:p>
        </w:tc>
      </w:tr>
      <w:tr w14:paraId="7648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20" w:type="dxa"/>
            <w:vAlign w:val="center"/>
          </w:tcPr>
          <w:p w14:paraId="219348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5" w:type="dxa"/>
            <w:vAlign w:val="center"/>
          </w:tcPr>
          <w:p w14:paraId="09373D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移动端</w:t>
            </w:r>
          </w:p>
        </w:tc>
        <w:tc>
          <w:tcPr>
            <w:tcW w:w="6225" w:type="dxa"/>
            <w:vAlign w:val="center"/>
          </w:tcPr>
          <w:p w14:paraId="444E1ED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院前院内协同、院前急救信息预警联动、移动会诊系统、转诊模块、患者情况一览表、智能输入、院前急救电子病历系统、急救病历填报、移动交接</w:t>
            </w:r>
          </w:p>
        </w:tc>
      </w:tr>
      <w:tr w14:paraId="1D34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20" w:type="dxa"/>
            <w:vAlign w:val="center"/>
          </w:tcPr>
          <w:p w14:paraId="73FCEA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5" w:type="dxa"/>
            <w:vAlign w:val="center"/>
          </w:tcPr>
          <w:p w14:paraId="2243E6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电脑端</w:t>
            </w:r>
          </w:p>
        </w:tc>
        <w:tc>
          <w:tcPr>
            <w:tcW w:w="6225" w:type="dxa"/>
            <w:vAlign w:val="center"/>
          </w:tcPr>
          <w:p w14:paraId="78908E4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院前院内协同、院前院内预警联动、远程会诊系统、急救电子病历系统、评分工具、创伤病例上报系统、质控会议上报系统、质控管理系统、基本周报、预警记录</w:t>
            </w:r>
          </w:p>
        </w:tc>
      </w:tr>
    </w:tbl>
    <w:p w14:paraId="62D65440">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2.系统服务功能要求</w:t>
      </w:r>
    </w:p>
    <w:tbl>
      <w:tblPr>
        <w:tblStyle w:val="22"/>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705"/>
        <w:gridCol w:w="780"/>
        <w:gridCol w:w="6181"/>
      </w:tblGrid>
      <w:tr w14:paraId="30FE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Align w:val="center"/>
          </w:tcPr>
          <w:p w14:paraId="24E5BADD">
            <w:pPr>
              <w:rPr>
                <w:szCs w:val="24"/>
              </w:rPr>
            </w:pPr>
            <w:r>
              <w:rPr>
                <w:rFonts w:hint="eastAsia"/>
                <w:szCs w:val="24"/>
              </w:rPr>
              <w:t>服务</w:t>
            </w:r>
          </w:p>
          <w:p w14:paraId="774C2A38">
            <w:pPr>
              <w:rPr>
                <w:szCs w:val="24"/>
              </w:rPr>
            </w:pPr>
            <w:r>
              <w:rPr>
                <w:rFonts w:hint="eastAsia"/>
                <w:szCs w:val="24"/>
              </w:rPr>
              <w:t>名称</w:t>
            </w:r>
          </w:p>
        </w:tc>
        <w:tc>
          <w:tcPr>
            <w:tcW w:w="705" w:type="dxa"/>
            <w:vAlign w:val="center"/>
          </w:tcPr>
          <w:p w14:paraId="32D782DA">
            <w:pPr>
              <w:rPr>
                <w:szCs w:val="24"/>
              </w:rPr>
            </w:pPr>
            <w:r>
              <w:rPr>
                <w:rFonts w:hint="eastAsia"/>
                <w:szCs w:val="24"/>
              </w:rPr>
              <w:t>服务</w:t>
            </w:r>
          </w:p>
          <w:p w14:paraId="23F7D677">
            <w:pPr>
              <w:rPr>
                <w:szCs w:val="24"/>
              </w:rPr>
            </w:pPr>
            <w:r>
              <w:rPr>
                <w:rFonts w:hint="eastAsia"/>
                <w:szCs w:val="24"/>
              </w:rPr>
              <w:t>内容</w:t>
            </w:r>
          </w:p>
        </w:tc>
        <w:tc>
          <w:tcPr>
            <w:tcW w:w="780" w:type="dxa"/>
            <w:vAlign w:val="center"/>
          </w:tcPr>
          <w:p w14:paraId="048BC55C">
            <w:pPr>
              <w:rPr>
                <w:szCs w:val="24"/>
              </w:rPr>
            </w:pPr>
            <w:r>
              <w:rPr>
                <w:rFonts w:hint="eastAsia"/>
                <w:szCs w:val="24"/>
              </w:rPr>
              <w:t>服务</w:t>
            </w:r>
          </w:p>
          <w:p w14:paraId="35E02439">
            <w:pPr>
              <w:rPr>
                <w:szCs w:val="24"/>
              </w:rPr>
            </w:pPr>
            <w:r>
              <w:rPr>
                <w:rFonts w:hint="eastAsia"/>
                <w:szCs w:val="24"/>
              </w:rPr>
              <w:t>模块</w:t>
            </w:r>
          </w:p>
        </w:tc>
        <w:tc>
          <w:tcPr>
            <w:tcW w:w="6181" w:type="dxa"/>
            <w:vAlign w:val="center"/>
          </w:tcPr>
          <w:p w14:paraId="6DFC6B26">
            <w:pPr>
              <w:rPr>
                <w:szCs w:val="24"/>
              </w:rPr>
            </w:pPr>
            <w:r>
              <w:rPr>
                <w:rFonts w:hint="eastAsia"/>
                <w:szCs w:val="24"/>
              </w:rPr>
              <w:t>功能描述</w:t>
            </w:r>
          </w:p>
        </w:tc>
      </w:tr>
      <w:tr w14:paraId="14DA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restart"/>
            <w:vAlign w:val="center"/>
          </w:tcPr>
          <w:p w14:paraId="3F0A08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全国严重创伤救治信息交互联动系统服务</w:t>
            </w:r>
          </w:p>
        </w:tc>
        <w:tc>
          <w:tcPr>
            <w:tcW w:w="705" w:type="dxa"/>
            <w:vMerge w:val="restart"/>
            <w:vAlign w:val="center"/>
          </w:tcPr>
          <w:p w14:paraId="6747E8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移动端</w:t>
            </w:r>
          </w:p>
        </w:tc>
        <w:tc>
          <w:tcPr>
            <w:tcW w:w="780" w:type="dxa"/>
            <w:vAlign w:val="center"/>
          </w:tcPr>
          <w:p w14:paraId="4461B3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院前院内</w:t>
            </w:r>
          </w:p>
          <w:p w14:paraId="703C44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协同</w:t>
            </w:r>
          </w:p>
        </w:tc>
        <w:tc>
          <w:tcPr>
            <w:tcW w:w="6181" w:type="dxa"/>
            <w:vAlign w:val="center"/>
          </w:tcPr>
          <w:p w14:paraId="7D5C500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一键就能把文本、图像、语音、视频这些内容生成患者档案，原始信息都保留下来，群聊信息也可以合并到对应病历里。</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支持创建院际协作组，本院和外院的专家可以组到一个群里。</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患者急救信息可以直接分享出去，分享到其他协作组也没问题。</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患者伤情有变化时会自动触发预警，第一时间推送到院内相关科室。</w:t>
            </w:r>
          </w:p>
        </w:tc>
      </w:tr>
      <w:tr w14:paraId="4D96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7BDF6E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5CFE93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497B92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院前急救信息预警联动</w:t>
            </w:r>
          </w:p>
        </w:tc>
        <w:tc>
          <w:tcPr>
            <w:tcW w:w="6181" w:type="dxa"/>
            <w:vAlign w:val="center"/>
          </w:tcPr>
          <w:p w14:paraId="6545B4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院前可以智能预警医院，院内实时拿到院前信息，告知终端会有声音提醒，医护人员能确认并接收预警，延时接收预警也没问题。</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一键预警的同时就能发起MDT，院内急救人员能及时了解患者情况，提前把急救准备做好，救治效率也更高。</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院前可以发起个人呼叫和 MDT呼叫，被呼叫的人会收到语音电话提醒，点开查看并签到即可。</w:t>
            </w:r>
          </w:p>
        </w:tc>
      </w:tr>
      <w:tr w14:paraId="32D7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1CFDC1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4E5E0E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1634C4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移动会诊</w:t>
            </w:r>
          </w:p>
          <w:p w14:paraId="06AFDD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系统</w:t>
            </w:r>
          </w:p>
        </w:tc>
        <w:tc>
          <w:tcPr>
            <w:tcW w:w="6181" w:type="dxa"/>
            <w:vAlign w:val="center"/>
          </w:tcPr>
          <w:p w14:paraId="53553C6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院前急救团队可以直接和院内专家开实时音视频会诊，视频过程中能静音，前后摄像头也能随时切换。</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远程音视频会诊的呼叫记录都可以查看。</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院前急救医护人员临时退出去，之后再进来接着会诊也没问题。</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参会人员可以输入会诊意见，会诊过程中还能把新的会诊人员拉进线上会诊。</w:t>
            </w:r>
          </w:p>
        </w:tc>
      </w:tr>
      <w:tr w14:paraId="0F54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4E9931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0DF138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18FCB3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转诊模块</w:t>
            </w:r>
          </w:p>
        </w:tc>
        <w:tc>
          <w:tcPr>
            <w:tcW w:w="6181" w:type="dxa"/>
            <w:vAlign w:val="center"/>
          </w:tcPr>
          <w:p w14:paraId="422F075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同级医院之间能转院，特定区域内的下级医院也可以把严重患者转到上级医院。</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转入医院的医护人员在规定时效内，可以查看患者在转出医院的历史病历信息。</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患者病历主页上还能加上转入、转出的操作标识。</w:t>
            </w:r>
          </w:p>
        </w:tc>
      </w:tr>
      <w:tr w14:paraId="6845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6928E6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1D01AC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109AAA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患者情况</w:t>
            </w:r>
          </w:p>
          <w:p w14:paraId="144680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一览表</w:t>
            </w:r>
          </w:p>
        </w:tc>
        <w:tc>
          <w:tcPr>
            <w:tcW w:w="6181" w:type="dxa"/>
            <w:vAlign w:val="center"/>
          </w:tcPr>
          <w:p w14:paraId="154765B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转送实况可以直接展示出来，转运的各时间点也能快速记下。</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患者基本信息、主诉、生命体征、评分这些内容都能看到。</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患者列表可以展示，全院创伤患者信息能智能切换。</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院前急救团队和院内急诊急救团队之间能实时音视频会诊通话。</w:t>
            </w:r>
          </w:p>
        </w:tc>
      </w:tr>
      <w:tr w14:paraId="4F7F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21B581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377334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61194A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智能输入</w:t>
            </w:r>
          </w:p>
        </w:tc>
        <w:tc>
          <w:tcPr>
            <w:tcW w:w="6181" w:type="dxa"/>
            <w:vAlign w:val="center"/>
          </w:tcPr>
          <w:p w14:paraId="2D5593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身份证图片可以直接识别，创建患者这一步就省事多了。</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用语音录入就能快速生成结构化电子病历，登记效率更高。</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文本、声音、视频、图片等多模态数据都能录入，这些数据还可以合并到患者信息里，院前患者信息更完整。</w:t>
            </w:r>
          </w:p>
        </w:tc>
      </w:tr>
      <w:tr w14:paraId="5381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212BB0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19DE70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30B574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院前急救电子病历系统</w:t>
            </w:r>
          </w:p>
        </w:tc>
        <w:tc>
          <w:tcPr>
            <w:tcW w:w="6181" w:type="dxa"/>
            <w:vAlign w:val="center"/>
          </w:tcPr>
          <w:p w14:paraId="67BBAD8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创伤患者的基本信息、院前急救电子病历信息等都可以录入。</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创伤患者的TI评分、GCS评分和ISS/AIS评分结果和明细都能查看。</w:t>
            </w:r>
          </w:p>
        </w:tc>
      </w:tr>
      <w:tr w14:paraId="458D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43B6C3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696EFC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68D629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急救病历</w:t>
            </w:r>
          </w:p>
          <w:p w14:paraId="3DAF2C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填报</w:t>
            </w:r>
          </w:p>
        </w:tc>
        <w:tc>
          <w:tcPr>
            <w:tcW w:w="6181" w:type="dxa"/>
            <w:vAlign w:val="center"/>
          </w:tcPr>
          <w:p w14:paraId="1FEF0BE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关键字模糊检索、不同时间范围、数据状态这些条件都能用来快速检索。</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填报或编辑患者数据时，有数据暂存和保存两种选择。暂存时只校验已经填写的字段是否有效、是否合理，填起来更省事。</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电子病历系统各模块都会提醒缺了哪些必填字段，填写完整的模块也有提示，缺项能马上定位。</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时间节点字段带逻辑校验和提示。</w:t>
            </w: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rPr>
              <w:t>患者数据填报完整度会自动计算，填写结果一键就能预览，TI、GCS、ISS/AIS 评分工具也一并提供。</w:t>
            </w:r>
          </w:p>
        </w:tc>
      </w:tr>
      <w:tr w14:paraId="275B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77BA19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18EAF2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362BA0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移动交接</w:t>
            </w:r>
          </w:p>
        </w:tc>
        <w:tc>
          <w:tcPr>
            <w:tcW w:w="6181" w:type="dxa"/>
            <w:vAlign w:val="center"/>
          </w:tcPr>
          <w:p w14:paraId="4982283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院前院内交接单能自动生成，签字也可以直接在交接单上完成。</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交接单支持预览和打印。</w:t>
            </w:r>
          </w:p>
        </w:tc>
      </w:tr>
      <w:tr w14:paraId="3739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03ECE9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restart"/>
            <w:vAlign w:val="center"/>
          </w:tcPr>
          <w:p w14:paraId="156A0D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电脑端</w:t>
            </w:r>
          </w:p>
        </w:tc>
        <w:tc>
          <w:tcPr>
            <w:tcW w:w="780" w:type="dxa"/>
            <w:vAlign w:val="center"/>
          </w:tcPr>
          <w:p w14:paraId="6835CA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院前院内</w:t>
            </w:r>
          </w:p>
          <w:p w14:paraId="54441E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协同</w:t>
            </w:r>
          </w:p>
        </w:tc>
        <w:tc>
          <w:tcPr>
            <w:tcW w:w="6181" w:type="dxa"/>
            <w:vAlign w:val="center"/>
          </w:tcPr>
          <w:p w14:paraId="107DB23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一键就能把文本、图像、语音、视频这些内容生成患者档案，原始信息都保留下来，群聊信息也能合并到对应病历里。</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院前急救团队和院内医护人员提交的患者信息可以实时获取，医疗资源提前准备。</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支持创建院际协作组，本院和外院专家可以组成一个协作群。</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分享功能也有，患者急救信息能分享到多个协作组，给远程会诊提供支持。</w:t>
            </w:r>
          </w:p>
        </w:tc>
      </w:tr>
      <w:tr w14:paraId="2F69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361547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323373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5B38BE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院前院内预警联动</w:t>
            </w:r>
          </w:p>
        </w:tc>
        <w:tc>
          <w:tcPr>
            <w:tcW w:w="6181" w:type="dxa"/>
            <w:vAlign w:val="center"/>
          </w:tcPr>
          <w:p w14:paraId="5EDEB56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院前智能预警信息可以实时接收，院内告知终端会有声音提醒，医护人员能确认并接收预警，延时接收也没问题。</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院内可以发起个人呼叫和MDT呼叫，通知其他科室医生来会诊。被呼叫的人会收到语音电话提醒，点开查看并签到就行。</w:t>
            </w:r>
          </w:p>
        </w:tc>
      </w:tr>
      <w:tr w14:paraId="5B1A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0A0F1E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336895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59EE66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远程会诊</w:t>
            </w:r>
          </w:p>
          <w:p w14:paraId="08839FA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系统</w:t>
            </w:r>
          </w:p>
        </w:tc>
        <w:tc>
          <w:tcPr>
            <w:tcW w:w="6181" w:type="dxa"/>
            <w:vAlign w:val="center"/>
          </w:tcPr>
          <w:p w14:paraId="0667D00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院前急救团队和院内急诊急救团队之间能实时音视频会诊通话。</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远程音视频会诊的呼叫记录都可以查看。</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临时退出去之后再回来接着会诊是可以的，参会人员也能输入会诊意见。</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会诊过程中还能把新的会诊人员拉进线上会诊。</w:t>
            </w:r>
          </w:p>
        </w:tc>
      </w:tr>
      <w:tr w14:paraId="56AB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2F78DC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2EE69C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61DBFC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急救电子病历系统</w:t>
            </w:r>
          </w:p>
        </w:tc>
        <w:tc>
          <w:tcPr>
            <w:tcW w:w="6181" w:type="dxa"/>
            <w:vAlign w:val="center"/>
          </w:tcPr>
          <w:p w14:paraId="640187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创伤患者的基本信息、院前急救电子病历信息、门急诊信息、住院信息等都能录入。</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创伤患者的TI评分、GCS评分和ISS/AIS评分结果和明细都能查看。</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病历系统里能直观看到患者时间轴，全流程关键救治节点信息会自动归集展示，国家创伤医学中心要求的 19 项质控指标结果也一并显示。</w:t>
            </w:r>
          </w:p>
        </w:tc>
      </w:tr>
      <w:tr w14:paraId="59AC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04CCA0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5A207D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0E8C91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评分工具</w:t>
            </w:r>
          </w:p>
        </w:tc>
        <w:tc>
          <w:tcPr>
            <w:tcW w:w="6181" w:type="dxa"/>
            <w:vAlign w:val="center"/>
          </w:tcPr>
          <w:p w14:paraId="03DBD85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院前用的TI评分、GCS评分工具都有。</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院内医生用的ISS/AIS评分工具也有，可以多次评估。</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所有评分工具都能快速点选评分项，不同分级的评估结果用不同颜色高亮显示，一眼就能分清。</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所有创伤评分工具都支持新增、查看、编辑、删除。</w:t>
            </w: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rPr>
              <w:t>其他可能需要的创伤评分工具也能快速配置。</w:t>
            </w:r>
          </w:p>
        </w:tc>
      </w:tr>
      <w:tr w14:paraId="2EE5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46E0CE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7C72A3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49C51B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创伤病例</w:t>
            </w:r>
          </w:p>
          <w:p w14:paraId="2DD964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上报系统</w:t>
            </w:r>
          </w:p>
        </w:tc>
        <w:tc>
          <w:tcPr>
            <w:tcW w:w="6181" w:type="dxa"/>
            <w:vAlign w:val="center"/>
          </w:tcPr>
          <w:p w14:paraId="31AD710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常用条件都能快速检索，涵盖关键字模糊检索、不同时间范围、严重创伤病人及病人分类等；</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高级查询功能也有，系统全变量字段的条件或条件组可以做与、或、非组合查询，文本、数值等不同字段类型对应不同的检索关系。</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高级检索的常用条件可以存成模板，下次一键调用就能搜。</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填报或编辑患者数据时有暂存和保存，暂存只校验已填字段，填起来更快。</w:t>
            </w: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rPr>
              <w:t>电子病历各模块会提醒缺哪些必填字段、填写完整也有提示，时间节点字段的先后逻辑还带校验和提示。</w:t>
            </w:r>
            <w:r>
              <w:rPr>
                <w:rFonts w:hint="eastAsia" w:ascii="仿宋_GB2312" w:hAnsi="仿宋_GB2312" w:eastAsia="仿宋_GB2312" w:cs="仿宋_GB2312"/>
                <w:sz w:val="28"/>
                <w:szCs w:val="28"/>
                <w:lang w:eastAsia="zh-CN"/>
              </w:rPr>
              <w:t>6.</w:t>
            </w:r>
            <w:r>
              <w:rPr>
                <w:rFonts w:hint="eastAsia" w:ascii="仿宋_GB2312" w:hAnsi="仿宋_GB2312" w:eastAsia="仿宋_GB2312" w:cs="仿宋_GB2312"/>
                <w:sz w:val="28"/>
                <w:szCs w:val="28"/>
              </w:rPr>
              <w:t>患者关键诊疗时间节点会自动提取生成时间轴，时间轴能收起、展开。7</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患者数据可以按数据状态分别展示，批量上报也支持。8</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患者数据填报完整度会自动计算并展示，填写结果一键预览，方便自查是否符合上报要求。9</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已上报和上报失败的数据都能查看，上报失败的还能二次上报。10</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与国家创伤医学中心数据库的上报对接已经打通。</w:t>
            </w:r>
          </w:p>
        </w:tc>
      </w:tr>
      <w:tr w14:paraId="46E6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18CD90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05" w:type="dxa"/>
            <w:vMerge w:val="continue"/>
            <w:vAlign w:val="center"/>
          </w:tcPr>
          <w:p w14:paraId="7D9447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780" w:type="dxa"/>
            <w:vAlign w:val="center"/>
          </w:tcPr>
          <w:p w14:paraId="35AB51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质控会议</w:t>
            </w:r>
          </w:p>
          <w:p w14:paraId="1DA70B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上报系统</w:t>
            </w:r>
          </w:p>
        </w:tc>
        <w:tc>
          <w:tcPr>
            <w:tcW w:w="6181" w:type="dxa"/>
            <w:vAlign w:val="center"/>
          </w:tcPr>
          <w:p w14:paraId="39F97C6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例会管理列表里能看到会议主题、开会日期、状态和操作信息，快速筛选也可以。2.例会的上报、新增、编辑和删除都能操作。3.会议签到表和会议纪要模板可以直接下载，会议照片、签到表和会议纪要也能上传。4.与国家创伤医学中心的数据对接已经打通，例会上报能直接完成。</w:t>
            </w:r>
          </w:p>
        </w:tc>
      </w:tr>
      <w:tr w14:paraId="2790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55765BB7">
            <w:pPr>
              <w:rPr>
                <w:szCs w:val="24"/>
              </w:rPr>
            </w:pPr>
          </w:p>
        </w:tc>
        <w:tc>
          <w:tcPr>
            <w:tcW w:w="705" w:type="dxa"/>
            <w:vMerge w:val="continue"/>
            <w:vAlign w:val="center"/>
          </w:tcPr>
          <w:p w14:paraId="4863657A">
            <w:pPr>
              <w:rPr>
                <w:szCs w:val="24"/>
              </w:rPr>
            </w:pPr>
          </w:p>
        </w:tc>
        <w:tc>
          <w:tcPr>
            <w:tcW w:w="780" w:type="dxa"/>
            <w:vAlign w:val="center"/>
          </w:tcPr>
          <w:p w14:paraId="133D6F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质控管理</w:t>
            </w:r>
          </w:p>
          <w:p w14:paraId="51C83B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系统</w:t>
            </w:r>
          </w:p>
        </w:tc>
        <w:tc>
          <w:tcPr>
            <w:tcW w:w="6181" w:type="dxa"/>
            <w:vAlign w:val="center"/>
          </w:tcPr>
          <w:p w14:paraId="4C518DC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19项创伤质控指标（《创伤中心医疗质量控制指标（试行）》）可以一屏看到，本院上周或特定时间段的质控指标都能统计。</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分钟计算结果类的指标，对应的平均值和中位数都能统计出来。</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统计指标能和全国创伤医学中心的平均值、本省平均值、本市平均值对比，对比结果会高亮提示。</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19项质控指标可以按图片或表格的形式导出。</w:t>
            </w:r>
          </w:p>
        </w:tc>
      </w:tr>
      <w:tr w14:paraId="2BEC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0BB58EEF">
            <w:pPr>
              <w:rPr>
                <w:szCs w:val="24"/>
              </w:rPr>
            </w:pPr>
          </w:p>
        </w:tc>
        <w:tc>
          <w:tcPr>
            <w:tcW w:w="705" w:type="dxa"/>
            <w:vMerge w:val="continue"/>
            <w:vAlign w:val="center"/>
          </w:tcPr>
          <w:p w14:paraId="77DED0D7">
            <w:pPr>
              <w:rPr>
                <w:szCs w:val="24"/>
              </w:rPr>
            </w:pPr>
          </w:p>
        </w:tc>
        <w:tc>
          <w:tcPr>
            <w:tcW w:w="780" w:type="dxa"/>
            <w:vAlign w:val="center"/>
          </w:tcPr>
          <w:p w14:paraId="40A9F3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基本周报</w:t>
            </w:r>
          </w:p>
        </w:tc>
        <w:tc>
          <w:tcPr>
            <w:tcW w:w="6181" w:type="dxa"/>
            <w:vAlign w:val="center"/>
          </w:tcPr>
          <w:p w14:paraId="0447B4B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患者上报数据能展示和统计分析，每周上报的数据量及总体质量按规格呈现。</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周报里会显示全国排名和省排名。</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年、月、周不同时间范围的周报数据都能检索。</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历史不同周期周报的变化趋势可以查看，趋势图还能放大、下载、切换图标。</w:t>
            </w:r>
          </w:p>
        </w:tc>
      </w:tr>
      <w:tr w14:paraId="79B5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9" w:type="dxa"/>
            <w:vMerge w:val="continue"/>
            <w:vAlign w:val="center"/>
          </w:tcPr>
          <w:p w14:paraId="6B66D78D">
            <w:pPr>
              <w:rPr>
                <w:szCs w:val="24"/>
              </w:rPr>
            </w:pPr>
          </w:p>
        </w:tc>
        <w:tc>
          <w:tcPr>
            <w:tcW w:w="705" w:type="dxa"/>
            <w:vMerge w:val="continue"/>
            <w:vAlign w:val="center"/>
          </w:tcPr>
          <w:p w14:paraId="7ADF5854">
            <w:pPr>
              <w:rPr>
                <w:szCs w:val="24"/>
              </w:rPr>
            </w:pPr>
          </w:p>
        </w:tc>
        <w:tc>
          <w:tcPr>
            <w:tcW w:w="780" w:type="dxa"/>
            <w:vAlign w:val="center"/>
          </w:tcPr>
          <w:p w14:paraId="7225AB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预警记录</w:t>
            </w:r>
          </w:p>
        </w:tc>
        <w:tc>
          <w:tcPr>
            <w:tcW w:w="6181" w:type="dxa"/>
            <w:vAlign w:val="center"/>
          </w:tcPr>
          <w:p w14:paraId="4E8FBE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历史预警记录、呼叫MDT记录、会诊记录都能查看。</w:t>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时效内的预警和历史呼叫记录可以直接操作；时效外的呼叫MDT可以补签。</w:t>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历史记录的接听和签到状态也能看到。</w:t>
            </w: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音视频记录的会诊意见可以填写。</w:t>
            </w:r>
          </w:p>
        </w:tc>
      </w:tr>
    </w:tbl>
    <w:p w14:paraId="24F013ED">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三、商务及售后服务要求</w:t>
      </w:r>
    </w:p>
    <w:p w14:paraId="332C71A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1.系统必须能够直接向国家创伤医学中心全国严重创伤救治信息交互联动数据库提交创伤病例，满足我院创伤中心创建评审要求。</w:t>
      </w:r>
    </w:p>
    <w:p w14:paraId="0F33BD42">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2.服务期内，国家创伤医学中心上报规则、接口发生变更，供应商必须免费完成系统版本、接口适配升级，保障病例上报链路持续可用。</w:t>
      </w:r>
    </w:p>
    <w:p w14:paraId="6CA7AD7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3.服务期内提供 7×24 小时技术支持；1 小时远程响应；一般故障 2 小时处置；较大故障 4 小时出具处置方案，重大故障 24 小时内解决。</w:t>
      </w:r>
    </w:p>
    <w:p w14:paraId="5D5B951D">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4.系统数据传输加密，全</w:t>
      </w:r>
      <w:bookmarkStart w:id="2" w:name="_GoBack"/>
      <w:bookmarkEnd w:id="2"/>
      <w:r>
        <w:rPr>
          <w:rFonts w:hint="eastAsia" w:ascii="仿宋_GB2312" w:hAnsi="仿宋_GB2312" w:eastAsia="仿宋_GB2312" w:cs="仿宋_GB2312"/>
          <w:kern w:val="0"/>
          <w:sz w:val="32"/>
          <w:szCs w:val="32"/>
          <w:lang w:val="en-US" w:eastAsia="zh-CN"/>
        </w:rPr>
        <w:t>流程操作日志留痕，符合医疗隐私、数据安全相关规范。</w:t>
      </w:r>
    </w:p>
    <w:p w14:paraId="382CC47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5.提供完整操作培训，含现场培训 + 远程指导，直至医护人员熟练掌握系统操作；配合医院完成创伤中心评审相关材料填报指导工作。</w:t>
      </w:r>
    </w:p>
    <w:p w14:paraId="7014A31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6.服务期内软件版本升级、技术支持均为免费；定期回访，提供病例填报质控分析服务。</w:t>
      </w:r>
    </w:p>
    <w:p w14:paraId="6E8A33CF">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宋体" w:hAnsi="宋体" w:cs="宋体"/>
          <w:kern w:val="0"/>
          <w:sz w:val="24"/>
          <w:szCs w:val="24"/>
        </w:rPr>
      </w:pPr>
      <w:r>
        <w:rPr>
          <w:rFonts w:hint="eastAsia" w:ascii="仿宋_GB2312" w:hAnsi="仿宋_GB2312" w:eastAsia="仿宋_GB2312" w:cs="仿宋_GB2312"/>
          <w:kern w:val="0"/>
          <w:sz w:val="32"/>
          <w:szCs w:val="32"/>
          <w:lang w:val="en-US" w:eastAsia="zh-CN"/>
        </w:rPr>
        <w:t>7.合同签订后 30 个日历日内完成系统部署、调试、上线运行。</w:t>
      </w:r>
    </w:p>
    <w:p w14:paraId="05AF5FE5">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▲四、对接扩展要求</w:t>
      </w:r>
    </w:p>
    <w:p w14:paraId="1358DB8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系统可提供接口能力，支持与院内现有 HIS、EMR 系统对接，可获取患者基础人口学信息，减少重复录入工作（接口实施工作量另行协商）。</w:t>
      </w:r>
    </w:p>
    <w:p w14:paraId="3EABE573">
      <w:pPr>
        <w:spacing w:line="560" w:lineRule="exact"/>
        <w:rPr>
          <w:rFonts w:ascii="仿宋_GB2312" w:hAnsi="仿宋" w:eastAsia="仿宋_GB2312"/>
          <w:color w:val="000000"/>
          <w:sz w:val="32"/>
          <w:szCs w:val="32"/>
        </w:rPr>
      </w:pPr>
    </w:p>
    <w:sectPr>
      <w:footerReference r:id="rId3" w:type="default"/>
      <w:footerReference r:id="rId4" w:type="even"/>
      <w:pgSz w:w="11906" w:h="16838"/>
      <w:pgMar w:top="1474" w:right="1134" w:bottom="1247"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Batang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A7A28">
    <w:pPr>
      <w:pStyle w:val="17"/>
      <w:ind w:right="56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BEB64">
    <w:pPr>
      <w:pStyle w:val="17"/>
      <w:ind w:firstLine="560" w:firstLineChars="20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20DC5F31"/>
    <w:rsid w:val="5B4F3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29"/>
    <w:qFormat/>
    <w:uiPriority w:val="0"/>
    <w:pPr>
      <w:keepNext/>
      <w:keepLines/>
      <w:spacing w:before="260" w:after="260" w:line="416" w:lineRule="auto"/>
      <w:outlineLvl w:val="2"/>
    </w:pPr>
    <w:rPr>
      <w:b/>
      <w:bCs/>
      <w:kern w:val="0"/>
      <w:sz w:val="32"/>
      <w:szCs w:val="32"/>
    </w:rPr>
  </w:style>
  <w:style w:type="paragraph" w:styleId="6">
    <w:name w:val="heading 4"/>
    <w:next w:val="1"/>
    <w:link w:val="30"/>
    <w:qFormat/>
    <w:uiPriority w:val="0"/>
    <w:pPr>
      <w:keepNext/>
      <w:keepLines/>
      <w:tabs>
        <w:tab w:val="left" w:pos="535"/>
      </w:tabs>
      <w:spacing w:beforeLines="100" w:afterLines="75" w:line="360" w:lineRule="auto"/>
      <w:contextualSpacing/>
      <w:outlineLvl w:val="3"/>
    </w:pPr>
    <w:rPr>
      <w:rFonts w:ascii="Times New Roman" w:hAnsi="Times New Roman" w:eastAsia="宋体" w:cs="Times New Roman"/>
      <w:b/>
      <w:bCs/>
      <w:kern w:val="2"/>
      <w:sz w:val="28"/>
      <w:szCs w:val="28"/>
      <w:lang w:val="en-US" w:eastAsia="zh-CN" w:bidi="ar-SA"/>
    </w:rPr>
  </w:style>
  <w:style w:type="paragraph" w:styleId="7">
    <w:name w:val="heading 5"/>
    <w:basedOn w:val="1"/>
    <w:next w:val="8"/>
    <w:link w:val="31"/>
    <w:qFormat/>
    <w:uiPriority w:val="0"/>
    <w:pPr>
      <w:keepNext/>
      <w:keepLines/>
      <w:spacing w:before="280" w:after="290" w:line="376" w:lineRule="auto"/>
      <w:outlineLvl w:val="4"/>
    </w:pPr>
    <w:rPr>
      <w:b/>
      <w:kern w:val="0"/>
      <w:sz w:val="28"/>
    </w:rPr>
  </w:style>
  <w:style w:type="paragraph" w:styleId="9">
    <w:name w:val="heading 6"/>
    <w:basedOn w:val="1"/>
    <w:next w:val="8"/>
    <w:link w:val="32"/>
    <w:qFormat/>
    <w:uiPriority w:val="0"/>
    <w:pPr>
      <w:keepNext/>
      <w:keepLines/>
      <w:spacing w:before="240" w:after="64" w:line="320" w:lineRule="auto"/>
      <w:outlineLvl w:val="5"/>
    </w:pPr>
    <w:rPr>
      <w:rFonts w:ascii="Arial" w:hAnsi="Arial" w:eastAsia="黑体"/>
      <w:b/>
      <w:kern w:val="0"/>
      <w:sz w:val="24"/>
    </w:rPr>
  </w:style>
  <w:style w:type="paragraph" w:styleId="10">
    <w:name w:val="heading 7"/>
    <w:basedOn w:val="1"/>
    <w:next w:val="8"/>
    <w:link w:val="33"/>
    <w:qFormat/>
    <w:uiPriority w:val="9"/>
    <w:pPr>
      <w:keepNext/>
      <w:keepLines/>
      <w:spacing w:before="240" w:after="64" w:line="320" w:lineRule="auto"/>
      <w:outlineLvl w:val="6"/>
    </w:pPr>
    <w:rPr>
      <w:b/>
      <w:kern w:val="0"/>
      <w:sz w:val="24"/>
    </w:rPr>
  </w:style>
  <w:style w:type="paragraph" w:styleId="11">
    <w:name w:val="heading 8"/>
    <w:basedOn w:val="1"/>
    <w:next w:val="8"/>
    <w:link w:val="34"/>
    <w:qFormat/>
    <w:uiPriority w:val="0"/>
    <w:pPr>
      <w:keepNext/>
      <w:keepLines/>
      <w:spacing w:before="240" w:after="64" w:line="320" w:lineRule="auto"/>
      <w:outlineLvl w:val="7"/>
    </w:pPr>
    <w:rPr>
      <w:rFonts w:ascii="Arial" w:hAnsi="Arial" w:eastAsia="黑体"/>
      <w:kern w:val="0"/>
      <w:sz w:val="24"/>
    </w:rPr>
  </w:style>
  <w:style w:type="paragraph" w:styleId="12">
    <w:name w:val="heading 9"/>
    <w:basedOn w:val="1"/>
    <w:next w:val="8"/>
    <w:link w:val="35"/>
    <w:qFormat/>
    <w:uiPriority w:val="0"/>
    <w:pPr>
      <w:keepNext/>
      <w:keepLines/>
      <w:spacing w:before="240" w:after="64" w:line="320" w:lineRule="auto"/>
      <w:outlineLvl w:val="8"/>
    </w:pPr>
    <w:rPr>
      <w:rFonts w:ascii="Arial" w:hAnsi="Arial" w:eastAsia="黑体"/>
      <w:kern w:val="0"/>
      <w:sz w:val="20"/>
    </w:rPr>
  </w:style>
  <w:style w:type="character" w:default="1" w:styleId="24">
    <w:name w:val="Default Paragraph Font"/>
    <w:qFormat/>
    <w:uiPriority w:val="1"/>
  </w:style>
  <w:style w:type="table" w:default="1" w:styleId="22">
    <w:name w:val="Normal Table"/>
    <w:qFormat/>
    <w:uiPriority w:val="99"/>
    <w:tblPr>
      <w:tblCellMar>
        <w:top w:w="0" w:type="dxa"/>
        <w:left w:w="108" w:type="dxa"/>
        <w:bottom w:w="0" w:type="dxa"/>
        <w:right w:w="108" w:type="dxa"/>
      </w:tblCellMar>
    </w:tblPr>
  </w:style>
  <w:style w:type="paragraph" w:customStyle="1" w:styleId="2">
    <w:name w:val="正文格式"/>
    <w:basedOn w:val="1"/>
    <w:unhideWhenUsed/>
    <w:qFormat/>
    <w:uiPriority w:val="0"/>
    <w:pPr>
      <w:widowControl/>
      <w:spacing w:line="400" w:lineRule="atLeast"/>
      <w:ind w:firstLine="482"/>
    </w:pPr>
    <w:rPr>
      <w:rFonts w:hint="eastAsia"/>
      <w:sz w:val="24"/>
    </w:rPr>
  </w:style>
  <w:style w:type="paragraph" w:styleId="8">
    <w:name w:val="Normal Indent"/>
    <w:basedOn w:val="1"/>
    <w:qFormat/>
    <w:uiPriority w:val="99"/>
    <w:pPr>
      <w:ind w:firstLine="420" w:firstLineChars="200"/>
    </w:pPr>
  </w:style>
  <w:style w:type="paragraph" w:styleId="13">
    <w:name w:val="caption"/>
    <w:basedOn w:val="1"/>
    <w:next w:val="1"/>
    <w:qFormat/>
    <w:uiPriority w:val="0"/>
    <w:pPr>
      <w:spacing w:before="152" w:after="160"/>
    </w:pPr>
    <w:rPr>
      <w:rFonts w:ascii="Arial" w:hAnsi="Arial" w:eastAsia="黑体" w:cs="Arial"/>
      <w:sz w:val="20"/>
      <w:szCs w:val="20"/>
    </w:rPr>
  </w:style>
  <w:style w:type="paragraph" w:styleId="14">
    <w:name w:val="Body Text 3"/>
    <w:basedOn w:val="1"/>
    <w:link w:val="39"/>
    <w:qFormat/>
    <w:uiPriority w:val="99"/>
    <w:pPr>
      <w:spacing w:line="500" w:lineRule="exact"/>
    </w:pPr>
    <w:rPr>
      <w:b/>
      <w:bCs/>
      <w:kern w:val="0"/>
      <w:sz w:val="24"/>
    </w:rPr>
  </w:style>
  <w:style w:type="paragraph" w:styleId="15">
    <w:name w:val="Body Text Indent"/>
    <w:basedOn w:val="1"/>
    <w:link w:val="37"/>
    <w:qFormat/>
    <w:uiPriority w:val="0"/>
    <w:pPr>
      <w:ind w:firstLine="830" w:firstLineChars="352"/>
    </w:pPr>
    <w:rPr>
      <w:rFonts w:ascii="仿宋_GB2312" w:eastAsia="仿宋_GB2312"/>
      <w:kern w:val="0"/>
      <w:sz w:val="32"/>
      <w:szCs w:val="20"/>
    </w:rPr>
  </w:style>
  <w:style w:type="paragraph" w:styleId="16">
    <w:name w:val="Plain Text"/>
    <w:basedOn w:val="1"/>
    <w:link w:val="40"/>
    <w:qFormat/>
    <w:uiPriority w:val="0"/>
    <w:rPr>
      <w:rFonts w:ascii="宋体" w:hAnsi="Courier New"/>
      <w:kern w:val="0"/>
      <w:sz w:val="20"/>
      <w:szCs w:val="21"/>
    </w:rPr>
  </w:style>
  <w:style w:type="paragraph" w:styleId="17">
    <w:name w:val="footer"/>
    <w:basedOn w:val="1"/>
    <w:link w:val="68"/>
    <w:qFormat/>
    <w:uiPriority w:val="99"/>
    <w:pPr>
      <w:tabs>
        <w:tab w:val="center" w:pos="4153"/>
        <w:tab w:val="right" w:pos="8306"/>
      </w:tabs>
      <w:snapToGrid w:val="0"/>
      <w:jc w:val="left"/>
    </w:pPr>
    <w:rPr>
      <w:sz w:val="18"/>
      <w:szCs w:val="18"/>
    </w:rPr>
  </w:style>
  <w:style w:type="paragraph" w:styleId="18">
    <w:name w:val="header"/>
    <w:basedOn w:val="1"/>
    <w:link w:val="67"/>
    <w:qFormat/>
    <w:uiPriority w:val="99"/>
    <w:pPr>
      <w:pBdr>
        <w:bottom w:val="single" w:color="auto" w:sz="6" w:space="1"/>
      </w:pBdr>
      <w:tabs>
        <w:tab w:val="center" w:pos="4153"/>
        <w:tab w:val="right" w:pos="8306"/>
      </w:tabs>
      <w:snapToGrid w:val="0"/>
      <w:jc w:val="center"/>
    </w:pPr>
    <w:rPr>
      <w:sz w:val="18"/>
      <w:szCs w:val="18"/>
    </w:rPr>
  </w:style>
  <w:style w:type="paragraph" w:styleId="19">
    <w:name w:val="Subtitle"/>
    <w:basedOn w:val="1"/>
    <w:next w:val="1"/>
    <w:link w:val="38"/>
    <w:qFormat/>
    <w:uiPriority w:val="0"/>
    <w:pPr>
      <w:adjustRightInd w:val="0"/>
      <w:snapToGrid w:val="0"/>
      <w:spacing w:before="240" w:after="60" w:line="312" w:lineRule="auto"/>
      <w:ind w:right="240" w:firstLine="480" w:firstLineChars="200"/>
      <w:jc w:val="center"/>
      <w:outlineLvl w:val="1"/>
    </w:pPr>
    <w:rPr>
      <w:rFonts w:ascii="Cambria" w:hAnsi="Cambria"/>
      <w:b/>
      <w:bCs/>
      <w:kern w:val="28"/>
      <w:sz w:val="32"/>
      <w:szCs w:val="32"/>
    </w:r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1">
    <w:name w:val="Title"/>
    <w:basedOn w:val="1"/>
    <w:next w:val="1"/>
    <w:link w:val="36"/>
    <w:qFormat/>
    <w:uiPriority w:val="0"/>
    <w:pPr>
      <w:spacing w:before="240" w:after="60"/>
      <w:jc w:val="center"/>
      <w:outlineLvl w:val="0"/>
    </w:pPr>
    <w:rPr>
      <w:rFonts w:ascii="Cambria" w:hAnsi="Cambria"/>
      <w:b/>
      <w:bCs/>
      <w:sz w:val="32"/>
      <w:szCs w:val="32"/>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Emphasis"/>
    <w:qFormat/>
    <w:uiPriority w:val="0"/>
    <w:rPr>
      <w:i/>
      <w:iCs/>
    </w:rPr>
  </w:style>
  <w:style w:type="character" w:customStyle="1" w:styleId="27">
    <w:name w:val="标题 1 字符"/>
    <w:link w:val="3"/>
    <w:qFormat/>
    <w:uiPriority w:val="0"/>
    <w:rPr>
      <w:rFonts w:ascii="Times New Roman" w:hAnsi="Times New Roman" w:eastAsia="宋体" w:cs="Times New Roman"/>
      <w:b/>
      <w:bCs/>
      <w:kern w:val="44"/>
      <w:sz w:val="44"/>
      <w:szCs w:val="44"/>
    </w:rPr>
  </w:style>
  <w:style w:type="character" w:customStyle="1" w:styleId="28">
    <w:name w:val="标题 2 字符"/>
    <w:link w:val="4"/>
    <w:qFormat/>
    <w:uiPriority w:val="0"/>
    <w:rPr>
      <w:rFonts w:ascii="Arial" w:hAnsi="Arial" w:eastAsia="黑体" w:cs="Times New Roman"/>
      <w:b/>
      <w:bCs/>
      <w:sz w:val="32"/>
      <w:szCs w:val="32"/>
    </w:rPr>
  </w:style>
  <w:style w:type="character" w:customStyle="1" w:styleId="29">
    <w:name w:val="标题 3 字符"/>
    <w:link w:val="5"/>
    <w:qFormat/>
    <w:uiPriority w:val="0"/>
    <w:rPr>
      <w:rFonts w:ascii="Times New Roman" w:hAnsi="Times New Roman" w:eastAsia="宋体" w:cs="Times New Roman"/>
      <w:b/>
      <w:bCs/>
      <w:sz w:val="32"/>
      <w:szCs w:val="32"/>
    </w:rPr>
  </w:style>
  <w:style w:type="character" w:customStyle="1" w:styleId="30">
    <w:name w:val="标题 4 字符"/>
    <w:link w:val="6"/>
    <w:qFormat/>
    <w:uiPriority w:val="0"/>
    <w:rPr>
      <w:b/>
      <w:bCs/>
      <w:kern w:val="2"/>
      <w:sz w:val="28"/>
      <w:szCs w:val="28"/>
      <w:lang w:val="en-US" w:eastAsia="zh-CN" w:bidi="ar-SA"/>
    </w:rPr>
  </w:style>
  <w:style w:type="character" w:customStyle="1" w:styleId="31">
    <w:name w:val="标题 5 字符"/>
    <w:link w:val="7"/>
    <w:qFormat/>
    <w:uiPriority w:val="0"/>
    <w:rPr>
      <w:rFonts w:ascii="Times New Roman" w:hAnsi="Times New Roman" w:cs="Times New Roman"/>
      <w:b/>
      <w:sz w:val="28"/>
      <w:szCs w:val="24"/>
    </w:rPr>
  </w:style>
  <w:style w:type="character" w:customStyle="1" w:styleId="32">
    <w:name w:val="标题 6 字符"/>
    <w:link w:val="9"/>
    <w:qFormat/>
    <w:uiPriority w:val="0"/>
    <w:rPr>
      <w:rFonts w:ascii="Arial" w:hAnsi="Arial" w:eastAsia="黑体" w:cs="Times New Roman"/>
      <w:b/>
      <w:sz w:val="24"/>
      <w:szCs w:val="24"/>
    </w:rPr>
  </w:style>
  <w:style w:type="character" w:customStyle="1" w:styleId="33">
    <w:name w:val="标题 7 字符"/>
    <w:link w:val="10"/>
    <w:qFormat/>
    <w:uiPriority w:val="9"/>
    <w:rPr>
      <w:rFonts w:ascii="Times New Roman" w:hAnsi="Times New Roman" w:cs="Times New Roman"/>
      <w:b/>
      <w:sz w:val="24"/>
      <w:szCs w:val="24"/>
    </w:rPr>
  </w:style>
  <w:style w:type="character" w:customStyle="1" w:styleId="34">
    <w:name w:val="标题 8 字符"/>
    <w:link w:val="11"/>
    <w:qFormat/>
    <w:uiPriority w:val="0"/>
    <w:rPr>
      <w:rFonts w:ascii="Arial" w:hAnsi="Arial" w:eastAsia="黑体" w:cs="Times New Roman"/>
      <w:sz w:val="24"/>
      <w:szCs w:val="24"/>
    </w:rPr>
  </w:style>
  <w:style w:type="character" w:customStyle="1" w:styleId="35">
    <w:name w:val="标题 9 字符"/>
    <w:link w:val="12"/>
    <w:qFormat/>
    <w:uiPriority w:val="0"/>
    <w:rPr>
      <w:rFonts w:ascii="Arial" w:hAnsi="Arial" w:eastAsia="黑体" w:cs="Times New Roman"/>
      <w:szCs w:val="24"/>
    </w:rPr>
  </w:style>
  <w:style w:type="character" w:customStyle="1" w:styleId="36">
    <w:name w:val="标题 字符"/>
    <w:link w:val="21"/>
    <w:qFormat/>
    <w:uiPriority w:val="0"/>
    <w:rPr>
      <w:rFonts w:ascii="Cambria" w:hAnsi="Cambria" w:cs="Times New Roman"/>
      <w:b/>
      <w:bCs/>
      <w:kern w:val="2"/>
      <w:sz w:val="32"/>
      <w:szCs w:val="32"/>
    </w:rPr>
  </w:style>
  <w:style w:type="character" w:customStyle="1" w:styleId="37">
    <w:name w:val="正文文本缩进 字符"/>
    <w:link w:val="15"/>
    <w:qFormat/>
    <w:uiPriority w:val="0"/>
    <w:rPr>
      <w:rFonts w:ascii="仿宋_GB2312" w:hAnsi="Times New Roman" w:eastAsia="仿宋_GB2312" w:cs="Times New Roman"/>
      <w:sz w:val="32"/>
      <w:szCs w:val="20"/>
    </w:rPr>
  </w:style>
  <w:style w:type="character" w:customStyle="1" w:styleId="38">
    <w:name w:val="副标题 字符"/>
    <w:link w:val="19"/>
    <w:qFormat/>
    <w:uiPriority w:val="0"/>
    <w:rPr>
      <w:rFonts w:ascii="Cambria" w:hAnsi="Cambria" w:cs="Times New Roman"/>
      <w:b/>
      <w:bCs/>
      <w:kern w:val="28"/>
      <w:sz w:val="32"/>
      <w:szCs w:val="32"/>
    </w:rPr>
  </w:style>
  <w:style w:type="character" w:customStyle="1" w:styleId="39">
    <w:name w:val="正文文本 3 字符"/>
    <w:link w:val="14"/>
    <w:qFormat/>
    <w:uiPriority w:val="99"/>
    <w:rPr>
      <w:rFonts w:ascii="Times New Roman" w:hAnsi="Times New Roman" w:eastAsia="宋体" w:cs="Times New Roman"/>
      <w:b/>
      <w:bCs/>
      <w:sz w:val="24"/>
      <w:szCs w:val="24"/>
    </w:rPr>
  </w:style>
  <w:style w:type="character" w:customStyle="1" w:styleId="40">
    <w:name w:val="纯文本 字符"/>
    <w:link w:val="16"/>
    <w:qFormat/>
    <w:uiPriority w:val="0"/>
    <w:rPr>
      <w:rFonts w:ascii="宋体" w:hAnsi="Courier New" w:eastAsia="宋体" w:cs="Courier New"/>
      <w:szCs w:val="21"/>
    </w:rPr>
  </w:style>
  <w:style w:type="paragraph" w:styleId="41">
    <w:name w:val="No Spacing"/>
    <w:qFormat/>
    <w:uiPriority w:val="1"/>
    <w:rPr>
      <w:rFonts w:ascii="Times New Roman" w:hAnsi="Times New Roman" w:eastAsia="宋体" w:cs="Times New Roman"/>
      <w:sz w:val="24"/>
      <w:szCs w:val="24"/>
      <w:lang w:val="en-US" w:eastAsia="zh-CN" w:bidi="ar-SA"/>
    </w:rPr>
  </w:style>
  <w:style w:type="paragraph" w:customStyle="1" w:styleId="42">
    <w:name w:val="列出段落1"/>
    <w:basedOn w:val="1"/>
    <w:link w:val="43"/>
    <w:qFormat/>
    <w:uiPriority w:val="0"/>
    <w:pPr>
      <w:ind w:firstLine="420" w:firstLineChars="200"/>
    </w:pPr>
    <w:rPr>
      <w:kern w:val="0"/>
      <w:sz w:val="20"/>
      <w:szCs w:val="20"/>
    </w:rPr>
  </w:style>
  <w:style w:type="character" w:customStyle="1" w:styleId="43">
    <w:name w:val="列出段落 Char"/>
    <w:link w:val="42"/>
    <w:qFormat/>
    <w:uiPriority w:val="0"/>
  </w:style>
  <w:style w:type="character" w:customStyle="1" w:styleId="44">
    <w:name w:val="招标要求"/>
    <w:qFormat/>
    <w:uiPriority w:val="1"/>
    <w:rPr>
      <w:b/>
      <w:color w:val="0066FF"/>
      <w:u w:val="none"/>
    </w:rPr>
  </w:style>
  <w:style w:type="character" w:customStyle="1" w:styleId="45">
    <w:name w:val="上标"/>
    <w:qFormat/>
    <w:uiPriority w:val="0"/>
    <w:rPr>
      <w:vertAlign w:val="superscript"/>
    </w:rPr>
  </w:style>
  <w:style w:type="character" w:customStyle="1" w:styleId="46">
    <w:name w:val="网格型浅色1"/>
    <w:qFormat/>
    <w:uiPriority w:val="0"/>
    <w:rPr>
      <w:b/>
      <w:bCs/>
      <w:i/>
      <w:smallCaps/>
      <w:color w:val="auto"/>
      <w:spacing w:val="5"/>
      <w:u w:val="single"/>
    </w:rPr>
  </w:style>
  <w:style w:type="character" w:customStyle="1" w:styleId="47">
    <w:name w:val="无格式表格 51"/>
    <w:qFormat/>
    <w:uiPriority w:val="0"/>
    <w:rPr>
      <w:smallCaps/>
      <w:color w:val="C0504D"/>
      <w:u w:val="single"/>
    </w:rPr>
  </w:style>
  <w:style w:type="character" w:customStyle="1" w:styleId="48">
    <w:name w:val="默认字符"/>
    <w:qFormat/>
    <w:uiPriority w:val="1"/>
  </w:style>
  <w:style w:type="character" w:customStyle="1" w:styleId="49">
    <w:name w:val="网格表 1 浅色1"/>
    <w:qFormat/>
    <w:uiPriority w:val="0"/>
    <w:rPr>
      <w:b/>
      <w:bCs/>
      <w:smallCaps/>
      <w:spacing w:val="5"/>
    </w:rPr>
  </w:style>
  <w:style w:type="character" w:customStyle="1" w:styleId="50">
    <w:name w:val="无格式表格 41"/>
    <w:qFormat/>
    <w:uiPriority w:val="0"/>
    <w:rPr>
      <w:b/>
      <w:bCs/>
      <w:i/>
      <w:iCs/>
      <w:color w:val="4F81BD"/>
    </w:rPr>
  </w:style>
  <w:style w:type="paragraph" w:customStyle="1" w:styleId="51">
    <w:name w:val="彩色列表 - 着色 11"/>
    <w:basedOn w:val="1"/>
    <w:qFormat/>
    <w:uiPriority w:val="34"/>
    <w:pPr>
      <w:ind w:firstLine="420" w:firstLineChars="200"/>
    </w:pPr>
  </w:style>
  <w:style w:type="paragraph" w:customStyle="1" w:styleId="52">
    <w:name w:val="正文（绿盟科技）"/>
    <w:qFormat/>
    <w:uiPriority w:val="0"/>
    <w:pPr>
      <w:spacing w:line="300" w:lineRule="auto"/>
    </w:pPr>
    <w:rPr>
      <w:rFonts w:ascii="Times New Roman" w:hAnsi="Times New Roman" w:eastAsia="宋体" w:cs="Times New Roman"/>
      <w:szCs w:val="21"/>
      <w:lang w:val="en-US" w:eastAsia="zh-CN" w:bidi="ar-SA"/>
    </w:rPr>
  </w:style>
  <w:style w:type="paragraph" w:customStyle="1" w:styleId="53">
    <w:name w:val="插图居中"/>
    <w:next w:val="1"/>
    <w:qFormat/>
    <w:uiPriority w:val="0"/>
    <w:pPr>
      <w:spacing w:beforeLines="50" w:afterLines="50" w:line="360" w:lineRule="auto"/>
      <w:jc w:val="center"/>
    </w:pPr>
    <w:rPr>
      <w:rFonts w:ascii="Times New Roman" w:hAnsi="Times New Roman" w:eastAsia="宋体" w:cs="Times New Roman"/>
      <w:kern w:val="2"/>
      <w:sz w:val="24"/>
      <w:szCs w:val="24"/>
      <w:lang w:val="en-US" w:eastAsia="zh-CN" w:bidi="ar-SA"/>
    </w:rPr>
  </w:style>
  <w:style w:type="paragraph" w:customStyle="1" w:styleId="54">
    <w:name w:val="图内文字5号居左"/>
    <w:qFormat/>
    <w:uiPriority w:val="0"/>
    <w:rPr>
      <w:rFonts w:ascii="Times New Roman" w:hAnsi="Times New Roman" w:eastAsia="宋体" w:cs="Times New Roman"/>
      <w:kern w:val="2"/>
      <w:sz w:val="21"/>
      <w:szCs w:val="24"/>
      <w:lang w:val="en-US" w:eastAsia="zh-CN" w:bidi="ar-SA"/>
    </w:rPr>
  </w:style>
  <w:style w:type="paragraph" w:customStyle="1" w:styleId="55">
    <w:name w:val="列出段落111"/>
    <w:basedOn w:val="1"/>
    <w:qFormat/>
    <w:uiPriority w:val="0"/>
    <w:pPr>
      <w:ind w:firstLine="420" w:firstLineChars="200"/>
    </w:pPr>
    <w:rPr>
      <w:szCs w:val="21"/>
    </w:rPr>
  </w:style>
  <w:style w:type="paragraph" w:customStyle="1" w:styleId="56">
    <w:name w:val="编号2级"/>
    <w:basedOn w:val="1"/>
    <w:next w:val="51"/>
    <w:qFormat/>
    <w:uiPriority w:val="0"/>
    <w:pPr>
      <w:adjustRightInd w:val="0"/>
      <w:snapToGrid w:val="0"/>
      <w:spacing w:line="360" w:lineRule="auto"/>
      <w:jc w:val="left"/>
    </w:pPr>
    <w:rPr>
      <w:sz w:val="24"/>
    </w:rPr>
  </w:style>
  <w:style w:type="paragraph" w:customStyle="1" w:styleId="57">
    <w:name w:val="无间隔1"/>
    <w:basedOn w:val="1"/>
    <w:qFormat/>
    <w:uiPriority w:val="99"/>
    <w:pPr>
      <w:widowControl/>
      <w:jc w:val="left"/>
    </w:pPr>
    <w:rPr>
      <w:kern w:val="0"/>
      <w:sz w:val="24"/>
      <w:lang w:eastAsia="en-US"/>
    </w:rPr>
  </w:style>
  <w:style w:type="paragraph" w:customStyle="1" w:styleId="58">
    <w:name w:val="列出段落112"/>
    <w:basedOn w:val="1"/>
    <w:qFormat/>
    <w:uiPriority w:val="34"/>
    <w:pPr>
      <w:ind w:firstLine="420" w:firstLineChars="200"/>
    </w:pPr>
  </w:style>
  <w:style w:type="paragraph" w:customStyle="1" w:styleId="59">
    <w:name w:val="图内文字5号居中"/>
    <w:qFormat/>
    <w:uiPriority w:val="0"/>
    <w:pPr>
      <w:jc w:val="center"/>
    </w:pPr>
    <w:rPr>
      <w:rFonts w:ascii="Times New Roman" w:hAnsi="Times New Roman" w:eastAsia="宋体" w:cs="Times New Roman"/>
      <w:kern w:val="2"/>
      <w:sz w:val="21"/>
      <w:szCs w:val="24"/>
      <w:lang w:val="en-US" w:eastAsia="zh-CN" w:bidi="ar-SA"/>
    </w:rPr>
  </w:style>
  <w:style w:type="paragraph" w:customStyle="1" w:styleId="60">
    <w:name w:val="标题大项"/>
    <w:basedOn w:val="21"/>
    <w:qFormat/>
    <w:uiPriority w:val="0"/>
    <w:pPr>
      <w:pageBreakBefore/>
      <w:adjustRightInd w:val="0"/>
      <w:snapToGrid w:val="0"/>
      <w:spacing w:before="4800" w:line="360" w:lineRule="auto"/>
      <w:ind w:right="240"/>
    </w:pPr>
    <w:rPr>
      <w:rFonts w:ascii="Arial" w:hAnsi="Arial" w:cs="Arial"/>
      <w:sz w:val="52"/>
    </w:rPr>
  </w:style>
  <w:style w:type="paragraph" w:customStyle="1" w:styleId="61">
    <w:name w:val="表内文字居中"/>
    <w:qFormat/>
    <w:uiPriority w:val="0"/>
    <w:pPr>
      <w:jc w:val="center"/>
    </w:pPr>
    <w:rPr>
      <w:rFonts w:ascii="Times New Roman" w:hAnsi="Times New Roman" w:eastAsia="宋体" w:cs="Times New Roman"/>
      <w:kern w:val="2"/>
      <w:sz w:val="24"/>
      <w:szCs w:val="24"/>
      <w:lang w:val="en-US" w:eastAsia="zh-CN" w:bidi="ar-SA"/>
    </w:rPr>
  </w:style>
  <w:style w:type="paragraph" w:customStyle="1" w:styleId="62">
    <w:name w:val="编号3级"/>
    <w:basedOn w:val="1"/>
    <w:next w:val="51"/>
    <w:qFormat/>
    <w:uiPriority w:val="0"/>
    <w:pPr>
      <w:adjustRightInd w:val="0"/>
      <w:snapToGrid w:val="0"/>
      <w:spacing w:line="360" w:lineRule="auto"/>
      <w:jc w:val="left"/>
    </w:pPr>
    <w:rPr>
      <w:sz w:val="24"/>
    </w:rPr>
  </w:style>
  <w:style w:type="paragraph" w:customStyle="1" w:styleId="63">
    <w:name w:val="编号1级"/>
    <w:basedOn w:val="1"/>
    <w:next w:val="1"/>
    <w:qFormat/>
    <w:uiPriority w:val="0"/>
    <w:pPr>
      <w:adjustRightInd w:val="0"/>
      <w:snapToGrid w:val="0"/>
      <w:spacing w:line="360" w:lineRule="auto"/>
      <w:jc w:val="left"/>
    </w:pPr>
    <w:rPr>
      <w:sz w:val="24"/>
    </w:rPr>
  </w:style>
  <w:style w:type="paragraph" w:customStyle="1" w:styleId="64">
    <w:name w:val="列出段落11"/>
    <w:basedOn w:val="1"/>
    <w:qFormat/>
    <w:uiPriority w:val="34"/>
    <w:pPr>
      <w:ind w:firstLine="420" w:firstLineChars="200"/>
    </w:pPr>
  </w:style>
  <w:style w:type="paragraph" w:customStyle="1" w:styleId="65">
    <w:name w:val="表内文字居左"/>
    <w:qFormat/>
    <w:uiPriority w:val="0"/>
    <w:pPr>
      <w:widowControl w:val="0"/>
      <w:adjustRightInd w:val="0"/>
      <w:snapToGrid w:val="0"/>
      <w:jc w:val="both"/>
    </w:pPr>
    <w:rPr>
      <w:rFonts w:ascii="Times New Roman" w:hAnsi="Times New Roman" w:eastAsia="宋体" w:cs="Times New Roman"/>
      <w:kern w:val="2"/>
      <w:sz w:val="24"/>
      <w:szCs w:val="24"/>
      <w:lang w:val="en-US" w:eastAsia="zh-CN" w:bidi="ar-SA"/>
    </w:rPr>
  </w:style>
  <w:style w:type="paragraph" w:customStyle="1" w:styleId="66">
    <w:name w:val="正文 A"/>
    <w:qFormat/>
    <w:uiPriority w:val="0"/>
    <w:pPr>
      <w:widowControl w:val="0"/>
      <w:jc w:val="both"/>
    </w:pPr>
    <w:rPr>
      <w:rFonts w:hint="eastAsia" w:ascii="Arial Unicode MS" w:hAnsi="Arial Unicode MS" w:eastAsia="Arial Unicode MS" w:cs="Arial Unicode MS"/>
      <w:kern w:val="1"/>
      <w:sz w:val="21"/>
      <w:szCs w:val="21"/>
      <w:lang w:val="en-US" w:eastAsia="zh-CN" w:bidi="ar-SA"/>
    </w:rPr>
  </w:style>
  <w:style w:type="character" w:customStyle="1" w:styleId="67">
    <w:name w:val="页眉 字符"/>
    <w:link w:val="18"/>
    <w:qFormat/>
    <w:uiPriority w:val="99"/>
    <w:rPr>
      <w:kern w:val="2"/>
      <w:sz w:val="18"/>
      <w:szCs w:val="18"/>
    </w:rPr>
  </w:style>
  <w:style w:type="character" w:customStyle="1" w:styleId="68">
    <w:name w:val="页脚 字符"/>
    <w:link w:val="17"/>
    <w:qFormat/>
    <w:uiPriority w:val="99"/>
    <w:rPr>
      <w:kern w:val="2"/>
      <w:sz w:val="18"/>
      <w:szCs w:val="18"/>
    </w:rPr>
  </w:style>
  <w:style w:type="paragraph" w:customStyle="1" w:styleId="69">
    <w:name w:val="바탕글"/>
    <w:qFormat/>
    <w:uiPriority w:val="0"/>
    <w:pPr>
      <w:widowControl w:val="0"/>
      <w:wordWrap w:val="0"/>
      <w:autoSpaceDE w:val="0"/>
      <w:autoSpaceDN w:val="0"/>
      <w:adjustRightInd w:val="0"/>
      <w:spacing w:line="360" w:lineRule="atLeast"/>
      <w:jc w:val="both"/>
      <w:textAlignment w:val="baseline"/>
    </w:pPr>
    <w:rPr>
      <w:rFonts w:ascii="BatangChe" w:hAnsi="Times New Roman" w:eastAsia="BatangChe" w:cs="Times New Roman"/>
      <w:color w:val="000000"/>
      <w:lang w:val="en-US" w:eastAsia="ko-K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6FEE23-9700-4022-8E51-B323FEB5A03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899</Words>
  <Characters>944</Characters>
  <Paragraphs>57</Paragraphs>
  <TotalTime>4</TotalTime>
  <ScaleCrop>false</ScaleCrop>
  <LinksUpToDate>false</LinksUpToDate>
  <CharactersWithSpaces>944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2026-04-28T08:38:00Z</dcterms:created>
  <dc:creator>Administrator</dc:creator>
  <cp:lastModifiedBy>-L.mc</cp:lastModifiedBy>
  <cp:lastPrinted>2022-09-23T02:30:00Z</cp:lastPrinted>
  <dcterms:modified xsi:type="dcterms:W3CDTF">2026-09-24T09:35:21Z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d327a8ad10014fe1be64109309cf5337_23</vt:lpwstr>
  </property>
  <property fmtid="{D5CDD505-2E9C-101B-9397-08002B2CF9AE}" pid="4" name="KSOTemplateDocerSaveRecord">
    <vt:lpwstr>eyJoZGlkIjoiY2QzMGU5Mjk4NThlODdmNTFjZmViNjlmMzBlOGU2ZTUiLCJ1c2VySWQiOiIzNTcxNTkxMTcifQ==</vt:lpwstr>
  </property>
</Properties>
</file>